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F807" w14:textId="77777777" w:rsidR="00D97453" w:rsidRPr="00D62AC7" w:rsidRDefault="005A4285" w:rsidP="00D62AC7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 xml:space="preserve">‘Health @ 2020’ </w:t>
      </w:r>
      <w:r w:rsidR="00E02215" w:rsidRPr="00D62AC7">
        <w:rPr>
          <w:rFonts w:ascii="Arial" w:hAnsi="Arial" w:cs="Arial"/>
          <w:b/>
          <w:sz w:val="32"/>
          <w:szCs w:val="28"/>
        </w:rPr>
        <w:t>Five Year Academic Plan 2015 – 2020</w:t>
      </w:r>
    </w:p>
    <w:p w14:paraId="38CE1862" w14:textId="77777777" w:rsidR="00D62AC7" w:rsidRPr="00E02215" w:rsidRDefault="00D62AC7" w:rsidP="00D62A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Contents</w:t>
      </w:r>
      <w:r w:rsidR="005A4285">
        <w:rPr>
          <w:rFonts w:ascii="Arial" w:hAnsi="Arial" w:cs="Arial"/>
          <w:b/>
          <w:sz w:val="28"/>
          <w:szCs w:val="28"/>
        </w:rPr>
        <w:t xml:space="preserve"> </w:t>
      </w:r>
    </w:p>
    <w:p w14:paraId="558A3A65" w14:textId="77777777" w:rsidR="00E02215" w:rsidRPr="00E02215" w:rsidRDefault="00E02215">
      <w:pPr>
        <w:rPr>
          <w:rFonts w:ascii="Arial" w:hAnsi="Arial" w:cs="Arial"/>
          <w:sz w:val="24"/>
          <w:szCs w:val="24"/>
        </w:rPr>
      </w:pPr>
    </w:p>
    <w:p w14:paraId="32EF29E1" w14:textId="77777777" w:rsidR="00E02215" w:rsidRDefault="00E02215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Executive Summary</w:t>
      </w:r>
    </w:p>
    <w:p w14:paraId="1C2679E0" w14:textId="77777777" w:rsidR="00393D9B" w:rsidRPr="00E02215" w:rsidRDefault="00393D9B" w:rsidP="00393D9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B1E57C0" w14:textId="77777777" w:rsidR="00E02215" w:rsidRDefault="00E02215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Elevator Pitch – brief description of the Faculty</w:t>
      </w:r>
    </w:p>
    <w:p w14:paraId="26191E45" w14:textId="77777777" w:rsidR="00393D9B" w:rsidRPr="00393D9B" w:rsidRDefault="00393D9B" w:rsidP="00393D9B">
      <w:pPr>
        <w:pStyle w:val="ListParagraph"/>
        <w:rPr>
          <w:rFonts w:ascii="Arial" w:hAnsi="Arial" w:cs="Arial"/>
          <w:sz w:val="24"/>
          <w:szCs w:val="24"/>
        </w:rPr>
      </w:pPr>
    </w:p>
    <w:p w14:paraId="2CAAF56A" w14:textId="77777777" w:rsidR="00393D9B" w:rsidRDefault="004B353B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Vision, </w:t>
      </w:r>
      <w:r w:rsidR="00E02215" w:rsidRPr="00E02215">
        <w:rPr>
          <w:rFonts w:ascii="Arial" w:hAnsi="Arial" w:cs="Arial"/>
          <w:sz w:val="24"/>
          <w:szCs w:val="24"/>
        </w:rPr>
        <w:t>Mission</w:t>
      </w:r>
      <w:r>
        <w:rPr>
          <w:rFonts w:ascii="Arial" w:hAnsi="Arial" w:cs="Arial"/>
          <w:sz w:val="24"/>
          <w:szCs w:val="24"/>
        </w:rPr>
        <w:t xml:space="preserve"> and Core Values</w:t>
      </w:r>
    </w:p>
    <w:p w14:paraId="3595ADC3" w14:textId="77777777" w:rsidR="00393D9B" w:rsidRPr="00393D9B" w:rsidRDefault="00393D9B" w:rsidP="00393D9B">
      <w:pPr>
        <w:pStyle w:val="ListParagraph"/>
        <w:rPr>
          <w:rFonts w:ascii="Arial" w:hAnsi="Arial" w:cs="Arial"/>
          <w:sz w:val="24"/>
          <w:szCs w:val="24"/>
        </w:rPr>
      </w:pPr>
    </w:p>
    <w:p w14:paraId="4A37EBE7" w14:textId="77777777" w:rsidR="00E02215" w:rsidRDefault="00E02215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SWOT – analysis of strengths, weaknesses, opportunities and threats</w:t>
      </w:r>
      <w:r w:rsidR="00D62AC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D62AC7">
        <w:rPr>
          <w:rFonts w:ascii="Arial" w:hAnsi="Arial" w:cs="Arial"/>
          <w:sz w:val="24"/>
          <w:szCs w:val="24"/>
        </w:rPr>
        <w:t>eg</w:t>
      </w:r>
      <w:proofErr w:type="spellEnd"/>
      <w:r w:rsidR="00D62AC7">
        <w:rPr>
          <w:rFonts w:ascii="Arial" w:hAnsi="Arial" w:cs="Arial"/>
          <w:sz w:val="24"/>
          <w:szCs w:val="24"/>
        </w:rPr>
        <w:t xml:space="preserve">. </w:t>
      </w:r>
      <w:r w:rsidRPr="00E02215">
        <w:rPr>
          <w:rFonts w:ascii="Arial" w:hAnsi="Arial" w:cs="Arial"/>
          <w:sz w:val="24"/>
          <w:szCs w:val="24"/>
        </w:rPr>
        <w:t xml:space="preserve"> AAPR, NSSE</w:t>
      </w:r>
      <w:r w:rsidR="00D62AC7">
        <w:rPr>
          <w:rFonts w:ascii="Arial" w:hAnsi="Arial" w:cs="Arial"/>
          <w:sz w:val="24"/>
          <w:szCs w:val="24"/>
        </w:rPr>
        <w:t>, Cyclical</w:t>
      </w:r>
      <w:r w:rsidR="004B353B">
        <w:rPr>
          <w:rFonts w:ascii="Arial" w:hAnsi="Arial" w:cs="Arial"/>
          <w:sz w:val="24"/>
          <w:szCs w:val="24"/>
        </w:rPr>
        <w:t xml:space="preserve"> P</w:t>
      </w:r>
      <w:r w:rsidR="00D62AC7">
        <w:rPr>
          <w:rFonts w:ascii="Arial" w:hAnsi="Arial" w:cs="Arial"/>
          <w:sz w:val="24"/>
          <w:szCs w:val="24"/>
        </w:rPr>
        <w:t>rogram Reviews</w:t>
      </w:r>
    </w:p>
    <w:p w14:paraId="5E61E37E" w14:textId="77777777" w:rsidR="00393D9B" w:rsidRPr="00393D9B" w:rsidRDefault="00393D9B" w:rsidP="00393D9B">
      <w:pPr>
        <w:pStyle w:val="ListParagraph"/>
        <w:rPr>
          <w:rFonts w:ascii="Arial" w:hAnsi="Arial" w:cs="Arial"/>
          <w:sz w:val="24"/>
          <w:szCs w:val="24"/>
        </w:rPr>
      </w:pPr>
    </w:p>
    <w:p w14:paraId="6C614C29" w14:textId="77777777" w:rsidR="00E02215" w:rsidRPr="00E02215" w:rsidRDefault="004B353B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</w:t>
      </w:r>
      <w:r w:rsidR="00E02215" w:rsidRPr="00E02215">
        <w:rPr>
          <w:rFonts w:ascii="Arial" w:hAnsi="Arial" w:cs="Arial"/>
          <w:sz w:val="24"/>
          <w:szCs w:val="24"/>
        </w:rPr>
        <w:t>Strategic Directions</w:t>
      </w:r>
      <w:r w:rsidR="005A4285">
        <w:rPr>
          <w:rFonts w:ascii="Arial" w:hAnsi="Arial" w:cs="Arial"/>
          <w:sz w:val="24"/>
          <w:szCs w:val="24"/>
        </w:rPr>
        <w:t>: Faculty, School/Department and College Levels</w:t>
      </w:r>
    </w:p>
    <w:p w14:paraId="6BB3B69B" w14:textId="77777777" w:rsidR="00E02215" w:rsidRPr="00E02215" w:rsidRDefault="00E02215" w:rsidP="00D62AC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Goals</w:t>
      </w:r>
    </w:p>
    <w:p w14:paraId="68713FEF" w14:textId="77777777" w:rsidR="00E02215" w:rsidRDefault="00E02215" w:rsidP="00D62AC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Metrics (KPIs) for 2015-2016 (</w:t>
      </w:r>
      <w:r>
        <w:rPr>
          <w:rFonts w:ascii="Arial" w:hAnsi="Arial" w:cs="Arial"/>
          <w:sz w:val="24"/>
          <w:szCs w:val="24"/>
        </w:rPr>
        <w:t>one year) and for 2020 (</w:t>
      </w:r>
      <w:r w:rsidRPr="00E02215">
        <w:rPr>
          <w:rFonts w:ascii="Arial" w:hAnsi="Arial" w:cs="Arial"/>
          <w:sz w:val="24"/>
          <w:szCs w:val="24"/>
        </w:rPr>
        <w:t>five years)</w:t>
      </w:r>
    </w:p>
    <w:p w14:paraId="5BAE95C1" w14:textId="77777777" w:rsidR="00393D9B" w:rsidRPr="00E02215" w:rsidRDefault="00393D9B" w:rsidP="00393D9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3B3F676" w14:textId="77777777" w:rsidR="00E02215" w:rsidRPr="00E02215" w:rsidRDefault="00E02215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Strategic Enrollment Plan</w:t>
      </w:r>
    </w:p>
    <w:p w14:paraId="3A02F58B" w14:textId="77777777" w:rsidR="00E02215" w:rsidRPr="00E02215" w:rsidRDefault="00E02215" w:rsidP="00D62AC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Enrollment Plan including understanding of personas and their different needs</w:t>
      </w:r>
    </w:p>
    <w:p w14:paraId="1E92A5D2" w14:textId="77777777" w:rsidR="00E02215" w:rsidRPr="00E02215" w:rsidRDefault="004B353B" w:rsidP="00D62AC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analysis – know Health’s</w:t>
      </w:r>
      <w:r w:rsidR="00E02215" w:rsidRPr="00E02215">
        <w:rPr>
          <w:rFonts w:ascii="Arial" w:hAnsi="Arial" w:cs="Arial"/>
          <w:sz w:val="24"/>
          <w:szCs w:val="24"/>
        </w:rPr>
        <w:t xml:space="preserve"> competitors, identify new opportunities for growth</w:t>
      </w:r>
    </w:p>
    <w:p w14:paraId="7AF03856" w14:textId="77777777" w:rsidR="00E02215" w:rsidRPr="00E02215" w:rsidRDefault="00E02215" w:rsidP="00D62AC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Differentiation strategy – competitive edge</w:t>
      </w:r>
    </w:p>
    <w:p w14:paraId="6CAE2D48" w14:textId="77777777" w:rsidR="00E02215" w:rsidRDefault="004B353B" w:rsidP="00D62AC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– positioning Health and its Units</w:t>
      </w:r>
      <w:r w:rsidR="00E02215" w:rsidRPr="00E02215">
        <w:rPr>
          <w:rFonts w:ascii="Arial" w:hAnsi="Arial" w:cs="Arial"/>
          <w:sz w:val="24"/>
          <w:szCs w:val="24"/>
        </w:rPr>
        <w:t xml:space="preserve"> relative to major competitors</w:t>
      </w:r>
    </w:p>
    <w:p w14:paraId="710C0EAD" w14:textId="77777777" w:rsidR="00393D9B" w:rsidRPr="00E02215" w:rsidRDefault="00393D9B" w:rsidP="00393D9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69BF5DC" w14:textId="77777777" w:rsidR="00E02215" w:rsidRDefault="00D62AC7" w:rsidP="00D62A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and S</w:t>
      </w:r>
      <w:r w:rsidR="004B353B">
        <w:rPr>
          <w:rFonts w:ascii="Arial" w:hAnsi="Arial" w:cs="Arial"/>
          <w:sz w:val="24"/>
          <w:szCs w:val="24"/>
        </w:rPr>
        <w:t>taff Complement P</w:t>
      </w:r>
      <w:r w:rsidR="00E02215" w:rsidRPr="00E02215">
        <w:rPr>
          <w:rFonts w:ascii="Arial" w:hAnsi="Arial" w:cs="Arial"/>
          <w:sz w:val="24"/>
          <w:szCs w:val="24"/>
        </w:rPr>
        <w:t>lans</w:t>
      </w:r>
      <w:r w:rsidR="004B353B">
        <w:rPr>
          <w:rFonts w:ascii="Arial" w:hAnsi="Arial" w:cs="Arial"/>
          <w:sz w:val="24"/>
          <w:szCs w:val="24"/>
        </w:rPr>
        <w:t xml:space="preserve">: </w:t>
      </w:r>
      <w:r w:rsidR="00E02215" w:rsidRPr="00E02215">
        <w:rPr>
          <w:rFonts w:ascii="Arial" w:hAnsi="Arial" w:cs="Arial"/>
          <w:sz w:val="24"/>
          <w:szCs w:val="24"/>
        </w:rPr>
        <w:t xml:space="preserve"> to execute on the opportunities and achieve </w:t>
      </w:r>
      <w:r w:rsidR="005A4285">
        <w:rPr>
          <w:rFonts w:ascii="Arial" w:hAnsi="Arial" w:cs="Arial"/>
          <w:sz w:val="24"/>
          <w:szCs w:val="24"/>
        </w:rPr>
        <w:t>our</w:t>
      </w:r>
      <w:r w:rsidR="00E02215" w:rsidRPr="00E02215">
        <w:rPr>
          <w:rFonts w:ascii="Arial" w:hAnsi="Arial" w:cs="Arial"/>
          <w:sz w:val="24"/>
          <w:szCs w:val="24"/>
        </w:rPr>
        <w:t xml:space="preserve"> goals</w:t>
      </w:r>
    </w:p>
    <w:p w14:paraId="5833F23B" w14:textId="77777777" w:rsidR="00393D9B" w:rsidRDefault="00393D9B" w:rsidP="00393D9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BE09E45" w14:textId="77777777" w:rsidR="004B353B" w:rsidRDefault="004B353B" w:rsidP="004B35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2215">
        <w:rPr>
          <w:rFonts w:ascii="Arial" w:hAnsi="Arial" w:cs="Arial"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>: three year rolling</w:t>
      </w:r>
    </w:p>
    <w:p w14:paraId="532498ED" w14:textId="77777777" w:rsidR="00393D9B" w:rsidRPr="00393D9B" w:rsidRDefault="00393D9B" w:rsidP="00393D9B">
      <w:pPr>
        <w:pStyle w:val="ListParagraph"/>
        <w:rPr>
          <w:rFonts w:ascii="Arial" w:hAnsi="Arial" w:cs="Arial"/>
          <w:sz w:val="24"/>
          <w:szCs w:val="24"/>
        </w:rPr>
      </w:pPr>
    </w:p>
    <w:p w14:paraId="3E0BB076" w14:textId="77777777" w:rsidR="005A4285" w:rsidRDefault="00393D9B" w:rsidP="005A42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Academic Plan and Rolling Budget are operationalized in our IRP </w:t>
      </w:r>
      <w:r w:rsidR="00E02215" w:rsidRPr="00E02215">
        <w:rPr>
          <w:rFonts w:ascii="Arial" w:hAnsi="Arial" w:cs="Arial"/>
          <w:sz w:val="24"/>
          <w:szCs w:val="24"/>
        </w:rPr>
        <w:t>Plan – priorities, goals or objectives, and individual initiatives over the next five years</w:t>
      </w:r>
    </w:p>
    <w:p w14:paraId="617D7C14" w14:textId="77777777" w:rsidR="005A4285" w:rsidRPr="005A4285" w:rsidRDefault="005A4285" w:rsidP="005A4285">
      <w:pPr>
        <w:rPr>
          <w:rFonts w:ascii="Arial" w:hAnsi="Arial" w:cs="Arial"/>
          <w:sz w:val="24"/>
          <w:szCs w:val="24"/>
        </w:rPr>
      </w:pPr>
    </w:p>
    <w:p w14:paraId="260DE39C" w14:textId="77777777" w:rsidR="005A4285" w:rsidRPr="005A4285" w:rsidRDefault="005A4285" w:rsidP="005A42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A4285">
        <w:rPr>
          <w:rFonts w:ascii="Arial" w:hAnsi="Arial" w:cs="Arial"/>
          <w:sz w:val="24"/>
          <w:szCs w:val="24"/>
        </w:rPr>
        <w:t>Appendix</w:t>
      </w:r>
    </w:p>
    <w:p w14:paraId="7DE19110" w14:textId="77777777" w:rsidR="005A4285" w:rsidRDefault="005A4285" w:rsidP="005A42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Information Forms (PIFs) from the 2014 Academic and Administrative Program review (AAPR)</w:t>
      </w:r>
    </w:p>
    <w:p w14:paraId="51871842" w14:textId="77777777" w:rsidR="005A4285" w:rsidRDefault="005A4285" w:rsidP="005A42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Health’s response to the AAPR</w:t>
      </w:r>
    </w:p>
    <w:p w14:paraId="46BA8926" w14:textId="77777777" w:rsidR="005A4285" w:rsidRPr="005A4285" w:rsidRDefault="005A4285" w:rsidP="005A428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….</w:t>
      </w:r>
    </w:p>
    <w:p w14:paraId="7D2C433A" w14:textId="77777777" w:rsidR="005A4285" w:rsidRPr="005A4285" w:rsidRDefault="005A4285" w:rsidP="005A4285">
      <w:pPr>
        <w:rPr>
          <w:rFonts w:ascii="Arial" w:hAnsi="Arial" w:cs="Arial"/>
          <w:sz w:val="24"/>
          <w:szCs w:val="24"/>
        </w:rPr>
      </w:pPr>
    </w:p>
    <w:p w14:paraId="261C12C4" w14:textId="77777777" w:rsidR="005A4285" w:rsidRPr="005A4285" w:rsidRDefault="005A4285" w:rsidP="005A428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5A4285" w:rsidRPr="005A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01A0"/>
    <w:multiLevelType w:val="hybridMultilevel"/>
    <w:tmpl w:val="11CAE0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62558F"/>
    <w:multiLevelType w:val="hybridMultilevel"/>
    <w:tmpl w:val="1B68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15"/>
    <w:rsid w:val="00393D9B"/>
    <w:rsid w:val="004B353B"/>
    <w:rsid w:val="005A4285"/>
    <w:rsid w:val="006D4E0F"/>
    <w:rsid w:val="009853ED"/>
    <w:rsid w:val="00B83664"/>
    <w:rsid w:val="00D62AC7"/>
    <w:rsid w:val="00D97453"/>
    <w:rsid w:val="00E0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1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cp:lastPrinted>2015-04-13T16:25:00Z</cp:lastPrinted>
  <dcterms:created xsi:type="dcterms:W3CDTF">2015-04-13T16:25:00Z</dcterms:created>
  <dcterms:modified xsi:type="dcterms:W3CDTF">2015-04-13T16:25:00Z</dcterms:modified>
</cp:coreProperties>
</file>